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26-261</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821</w:t>
      </w:r>
    </w:p>
    <w:p>
      <w:pPr>
        <w:spacing w:before="0" w:after="0" w:line="480"/>
        <w:ind w:left="120"/>
        <w:jc w:val="center"/>
      </w:pPr>
      <w:r>
        <w:rPr>
          <w:rFonts w:ascii="Times New Roman" w:hAnsi="Times New Roman"/>
          <w:b w:val="false"/>
          <w:i w:val="false"/>
          <w:color w:val="000000"/>
          <w:sz w:val="24"/>
        </w:rPr>
        <w:t>“Licensure of Massage Therapists”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 152C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chapters 147, 152C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Board of Massage Therapy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Emily DeRonde</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515.249.7038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emily.deronde@dia.iowa.gov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the Board’s rules regarding reactivation and foreign-trained graduates. This rulemaking allows the Board to issue a massage therapy license to a foreign-trained graduate who has completed an equivalency evaluation at an approved agency, eliminates outdated agency information in the current rule, and clarifies and simplifies the rules for reactivation of a massage therapy license. New rules allow the applicant whose license has been inactive for over five years to verify active practice and 16 hours of continuing education, complete 32 hours of continuing education, or retake the examination. This provides additional pathways to reactivation rather than just the examination.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anticipated costs to this rulemaking other than the costs already incurred by the Board to enforce the rules. Massage therapists will incur costs in licensing fees to obtain this license.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rulemaking allows an additional pathway for massage therapists to reactivate their license without retaking an examination.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Members of the public would incur no costs other than payment for massage services provided. Massage therapists will be responsible for meeting licensure requirements.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Board believes that the costs are justified by the benefits achieved because the rules allow additional pathways to reactivation of a massage therapy license.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oversight of practice standards and requirements. The Board would still need to review and approve applications for massage therapists; however, the Board does not anticipate any further costs than are already incurred. The time needed to manage this provision is generally in the form of responding to questions related to practice standards and processing requests for review of training. Staff salaries to support the work of the Board are covered by the Licensing and Regulation Fund established in 2023 Iowa Acts, Senate File 557.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anticipated impact on State revenues. Staff salaries to support the work of the Board are covered by the fund. Licensing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believes all current requirements ensure public safety and ensure a minimum competency of care is provided to Iowans. Licensure requirements could be reduced or eliminated for the purpose of lowering the bar of entry into the profession, but the Board would be concerned about the public safety of Iowans in that scenario. In addition, the rulemaking provides consistency related to the licensure of massage therapists in other states, which makes obtaining licensure in multiple states simpler for applicants.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has not identified a more cost-effective alternative to the licensure of massage therapists. The Board believes all current requirements ensure public safety and ensure a minimum competency of care is provided to Iowans.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has not identified a more cost-effective alternative to the licensure of massage therapists. The Board believes all current requirements ensure public safety and ensure a minimum competency of care is provided to Iowans.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has not identified a more cost-effective alternative to the licensure of massage therapists. The Board believes all current requirements ensure public safety and ensure a minimum competency of care is provided to Iowans.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amendments relate to public safety concerns that are present whether the business is a small business or a large corporation. While some massage professionals may work in a smaller office, some work for larger establishments. To exempt a small business from adhering to this rulemaking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821.3(1)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821.3(1)</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an equivalency evaluation of their educational credentials by </w:t>
      </w:r>
      <w:r>
        <w:rPr>
          <w:rFonts w:ascii="Times New Roman" w:hAnsi="Times New Roman"/>
          <w:b w:val="false"/>
          <w:i w:val="false"/>
          <w:strike/>
          <w:color w:val="000000"/>
          <w:sz w:val="24"/>
        </w:rPr>
        <w:t>one of the following entities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board-approved agency,</w:t>
      </w:r>
      <w:r>
        <w:rPr>
          <w:rFonts w:ascii="Times New Roman" w:hAnsi="Times New Roman"/>
          <w:b w:val="false"/>
          <w:i w:val="false"/>
          <w:color w:val="000000"/>
          <w:sz w:val="24"/>
        </w:rPr>
        <w:t xml:space="preserve"> demonstrating the curriculum is equivalent to that stated in these rules. The applicant bears the expense of the curriculum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International Education Research Foundation, Inc., Credentials Evaluation Service, P.O. Box 3665, Culver City, CA 90231-3665; telephone 310.258.9451; website </w:t>
      </w:r>
      <w:hyperlink r:id="rId5">
        <w:r>
          <w:rPr>
            <w:rStyle w:val="Hyperlink"/>
            <w:rFonts w:ascii="Times New Roman" w:hAnsi="Times New Roman"/>
            <w:b w:val="false"/>
            <w:i w:val="false"/>
            <w:strike/>
            <w:color w:val="000000"/>
            <w:sz w:val="24"/>
          </w:rPr>
          <w:t>www.ierf.org</w:t>
        </w:r>
      </w:hyperlink>
      <w:r>
        <w:rPr>
          <w:rFonts w:ascii="Times New Roman" w:hAnsi="Times New Roman"/>
          <w:b w:val="false"/>
          <w:i w:val="false"/>
          <w:strik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International Credentialing Associates, Inc., 7245 Bryan Dairy Road, Bryan Dairy Business Park II, Largo, FL 33777; telephone 727.549.8555.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Josef Silny &amp; Associates, Inc., 7101 SW 102nd Avenue, Miami, FL 33173; telephone 305.273.1616; website </w:t>
      </w:r>
      <w:hyperlink r:id="rId6">
        <w:r>
          <w:rPr>
            <w:rStyle w:val="Hyperlink"/>
            <w:rFonts w:ascii="Times New Roman" w:hAnsi="Times New Roman"/>
            <w:b w:val="false"/>
            <w:i w:val="false"/>
            <w:strike/>
            <w:color w:val="000000"/>
            <w:sz w:val="24"/>
          </w:rPr>
          <w:t>jsilny.org</w:t>
        </w:r>
      </w:hyperlink>
      <w:r>
        <w:rPr>
          <w:rFonts w:ascii="Times New Roman" w:hAnsi="Times New Roman"/>
          <w:b w:val="false"/>
          <w:i w:val="false"/>
          <w:strik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821.9(2)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821.9(2)</w:t>
      </w:r>
      <w:r>
        <w:rPr>
          <w:rFonts w:ascii="Times New Roman" w:hAnsi="Times New Roman"/>
          <w:b w:val="false"/>
          <w:i w:val="false"/>
          <w:color w:val="000000"/>
          <w:sz w:val="24"/>
        </w:rPr>
        <w:t> </w:t>
      </w:r>
      <w:r>
        <w:rPr>
          <w:rFonts w:ascii="Times New Roman" w:hAnsi="Times New Roman"/>
          <w:b w:val="false"/>
          <w:i w:val="false"/>
          <w:color w:val="000000"/>
          <w:sz w:val="24"/>
        </w:rPr>
        <w:t>The licensee shall submit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completed online application for licensure and the nonrefundable licensure fee specified in rule </w:t>
      </w:r>
      <w:hyperlink r:id="rId7">
        <w:r>
          <w:rPr>
            <w:rStyle w:val="Hyperlink"/>
            <w:rFonts w:ascii="Times New Roman" w:hAnsi="Times New Roman"/>
            <w:b w:val="false"/>
            <w:i w:val="false"/>
            <w:color w:val="000000"/>
            <w:sz w:val="24"/>
          </w:rPr>
          <w:t>481—507.8</w:t>
        </w:r>
      </w:hyperlink>
      <w:r>
        <w:rPr>
          <w:rFonts w:ascii="Times New Roman" w:hAnsi="Times New Roman"/>
          <w:b w:val="false"/>
          <w:i w:val="false"/>
          <w:color w:val="000000"/>
          <w:sz w:val="24"/>
        </w:rPr>
        <w:t>(147).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licensed in another state, 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Licensee’s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 of initial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Current licensure status;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disciplinary action taken against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inactive for five years or less, proof of completion of 16 hours of continuing education within two years of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on inactive status for more than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Proof of completion of 16 hours of continuing education within two years of application and proof of two years of active, licensed practice in another issuing jurisdiction immediately prior to submitting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Proof of completion of 32 hours of continuing education to include 16 hours of in-person, clinical training;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Proof of passing one of the following examinations within two years of submitting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National Certification Examination for Therapeutic Massage (NCETM);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National Certification Examination for Therapeutic Massage and Bodywork (NCETMB);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National Examination for States Licensing (NESL) option;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Massage and Bodywork Licensing Examination (MBLEx).</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emily.deronde@dia.iowa.gov" Type="http://schemas.openxmlformats.org/officeDocument/2006/relationships/hyperlink" Id="rId4"/>
    <Relationship TargetMode="External" Target="http://www.ierf.org" Type="http://schemas.openxmlformats.org/officeDocument/2006/relationships/hyperlink" Id="rId5"/>
    <Relationship TargetMode="External" Target="http://jsilny.org" Type="http://schemas.openxmlformats.org/officeDocument/2006/relationships/hyperlink" Id="rId6"/>
    <Relationship TargetMode="External" Target="https://www.legis.iowa.gov/docs/iac/rule/481.507.8.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